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DD9" w:rsidRDefault="00C250F0">
      <w:pPr>
        <w:pStyle w:val="Bodytext40"/>
        <w:shd w:val="clear" w:color="auto" w:fill="auto"/>
        <w:spacing w:after="420"/>
        <w:ind w:left="20"/>
      </w:pPr>
      <w:r>
        <w:t>АНАЛІЗ РЕГУЛЯТОРНОГО ВПЛИВУ</w:t>
      </w:r>
      <w:r>
        <w:br/>
        <w:t xml:space="preserve">проекту рішення </w:t>
      </w:r>
      <w:proofErr w:type="spellStart"/>
      <w:r>
        <w:t>Марганецької</w:t>
      </w:r>
      <w:proofErr w:type="spellEnd"/>
      <w:r>
        <w:t xml:space="preserve"> міської ради</w:t>
      </w:r>
    </w:p>
    <w:p w:rsidR="008D5DD9" w:rsidRDefault="00243A3C">
      <w:pPr>
        <w:pStyle w:val="Bodytext30"/>
        <w:shd w:val="clear" w:color="auto" w:fill="auto"/>
        <w:spacing w:before="0" w:after="0" w:line="360" w:lineRule="exact"/>
        <w:ind w:left="20"/>
      </w:pPr>
      <w:r>
        <w:t xml:space="preserve">«Про внесення змін до рішення </w:t>
      </w:r>
      <w:proofErr w:type="spellStart"/>
      <w:r>
        <w:t>Марганецької</w:t>
      </w:r>
      <w:proofErr w:type="spellEnd"/>
      <w:r>
        <w:t xml:space="preserve"> міської ради № 558-16/</w:t>
      </w:r>
      <w:r>
        <w:rPr>
          <w:lang w:val="en-US"/>
        </w:rPr>
        <w:t>VII</w:t>
      </w:r>
      <w:r>
        <w:t xml:space="preserve"> від 27.10.2016 р. «Про затвердження Методики ро</w:t>
      </w:r>
      <w:r w:rsidR="00C250F0">
        <w:t>зрахунку орендної плати за</w:t>
      </w:r>
      <w:r w:rsidR="00C250F0">
        <w:br/>
        <w:t>комунальне майно територіальної громади м. Марганець та</w:t>
      </w:r>
    </w:p>
    <w:p w:rsidR="008D5DD9" w:rsidRDefault="00C250F0">
      <w:pPr>
        <w:pStyle w:val="Bodytext30"/>
        <w:shd w:val="clear" w:color="auto" w:fill="auto"/>
        <w:spacing w:before="0" w:after="338" w:line="360" w:lineRule="exact"/>
        <w:ind w:left="20"/>
      </w:pPr>
      <w:r>
        <w:t>пропорції її розподілу»</w:t>
      </w:r>
    </w:p>
    <w:p w:rsidR="008D5DD9" w:rsidRDefault="00C250F0">
      <w:pPr>
        <w:pStyle w:val="Bodytext50"/>
        <w:numPr>
          <w:ilvl w:val="0"/>
          <w:numId w:val="1"/>
        </w:numPr>
        <w:shd w:val="clear" w:color="auto" w:fill="auto"/>
        <w:tabs>
          <w:tab w:val="left" w:pos="320"/>
        </w:tabs>
        <w:spacing w:before="0" w:after="269"/>
      </w:pPr>
      <w:r>
        <w:t>Проблема</w:t>
      </w:r>
      <w:r>
        <w:rPr>
          <w:rStyle w:val="Bodytext5NotItalic"/>
        </w:rPr>
        <w:t xml:space="preserve">, </w:t>
      </w:r>
      <w:r w:rsidR="00A7177F">
        <w:t xml:space="preserve">яку планується </w:t>
      </w:r>
      <w:proofErr w:type="spellStart"/>
      <w:r w:rsidR="00A7177F">
        <w:t>розв</w:t>
      </w:r>
      <w:proofErr w:type="spellEnd"/>
      <w:r w:rsidR="00A7177F">
        <w:rPr>
          <w:lang w:val="en-US"/>
        </w:rPr>
        <w:t>’</w:t>
      </w:r>
      <w:proofErr w:type="spellStart"/>
      <w:r>
        <w:t>язати</w:t>
      </w:r>
      <w:proofErr w:type="spellEnd"/>
    </w:p>
    <w:p w:rsidR="00A7177F" w:rsidRDefault="00D16767" w:rsidP="00A7177F">
      <w:pPr>
        <w:pStyle w:val="Bodytext30"/>
        <w:shd w:val="clear" w:color="auto" w:fill="auto"/>
        <w:spacing w:before="0" w:after="0" w:line="240" w:lineRule="auto"/>
        <w:ind w:left="20"/>
        <w:jc w:val="both"/>
        <w:rPr>
          <w:b w:val="0"/>
        </w:rPr>
      </w:pPr>
      <w:r>
        <w:rPr>
          <w:b w:val="0"/>
        </w:rPr>
        <w:t xml:space="preserve">       </w:t>
      </w:r>
      <w:r w:rsidR="00C250F0" w:rsidRPr="00A7177F">
        <w:rPr>
          <w:b w:val="0"/>
        </w:rPr>
        <w:t>Цей аналіз регуляторного впливу розроблений на виконання та з дотриманням вимог Закону України «Про засади державної регуляторної політики у сфері господарської діяльності», визначає правові та організаційні засади реалізації проекту рішення, який розроблено з метою приведення у відповідність до Закону України «Про оренду державного та комунального майна», на підставі Методики розрахунку орендної плати за державне майно та пропорції її розподілу, затвердженої постановою Кабінету Міністрів України від 4 жовтня 1995 р. № 786 із змінами та доповненнями.</w:t>
      </w:r>
      <w:r w:rsidR="00A7177F" w:rsidRPr="00A7177F">
        <w:rPr>
          <w:b w:val="0"/>
        </w:rPr>
        <w:t xml:space="preserve"> У зв’язку із прийнятим рішенням </w:t>
      </w:r>
      <w:proofErr w:type="spellStart"/>
      <w:r w:rsidR="00A7177F" w:rsidRPr="00A7177F">
        <w:rPr>
          <w:b w:val="0"/>
        </w:rPr>
        <w:t>Марганецької</w:t>
      </w:r>
      <w:proofErr w:type="spellEnd"/>
      <w:r w:rsidR="00A7177F" w:rsidRPr="00A7177F">
        <w:rPr>
          <w:b w:val="0"/>
        </w:rPr>
        <w:t xml:space="preserve"> міської ради № 1039-33/</w:t>
      </w:r>
      <w:r w:rsidR="00A7177F" w:rsidRPr="00A7177F">
        <w:rPr>
          <w:b w:val="0"/>
          <w:lang w:val="en-US"/>
        </w:rPr>
        <w:t>VII</w:t>
      </w:r>
      <w:r w:rsidR="00A7177F" w:rsidRPr="00A7177F">
        <w:rPr>
          <w:b w:val="0"/>
        </w:rPr>
        <w:t xml:space="preserve"> від 21.12.2017 року «Про передачу на баланс нежитлових окремо розташованих будівель та інших матеріальних цінностей»  </w:t>
      </w:r>
      <w:proofErr w:type="spellStart"/>
      <w:r w:rsidR="00A7177F" w:rsidRPr="00A7177F">
        <w:rPr>
          <w:b w:val="0"/>
        </w:rPr>
        <w:t>КП</w:t>
      </w:r>
      <w:proofErr w:type="spellEnd"/>
      <w:r w:rsidR="00A7177F" w:rsidRPr="00A7177F">
        <w:rPr>
          <w:b w:val="0"/>
        </w:rPr>
        <w:t xml:space="preserve"> «Центр комунальних послуг та комунального майна територіальної громади м. </w:t>
      </w:r>
      <w:proofErr w:type="spellStart"/>
      <w:r w:rsidR="00A7177F" w:rsidRPr="00A7177F">
        <w:rPr>
          <w:b w:val="0"/>
        </w:rPr>
        <w:t>Марганця</w:t>
      </w:r>
      <w:proofErr w:type="spellEnd"/>
      <w:r w:rsidR="00A7177F" w:rsidRPr="00A7177F">
        <w:rPr>
          <w:b w:val="0"/>
        </w:rPr>
        <w:t>»</w:t>
      </w:r>
      <w:r w:rsidR="002E1ABB">
        <w:rPr>
          <w:b w:val="0"/>
        </w:rPr>
        <w:t xml:space="preserve">  планує внести зміни </w:t>
      </w:r>
      <w:r w:rsidR="00A7177F" w:rsidRPr="00A7177F">
        <w:rPr>
          <w:b w:val="0"/>
        </w:rPr>
        <w:t xml:space="preserve">до рішення </w:t>
      </w:r>
      <w:proofErr w:type="spellStart"/>
      <w:r w:rsidR="00A7177F" w:rsidRPr="00A7177F">
        <w:rPr>
          <w:b w:val="0"/>
        </w:rPr>
        <w:t>Марганецької</w:t>
      </w:r>
      <w:proofErr w:type="spellEnd"/>
      <w:r w:rsidR="00A7177F" w:rsidRPr="00A7177F">
        <w:rPr>
          <w:b w:val="0"/>
        </w:rPr>
        <w:t xml:space="preserve"> міської ради № 558-16/</w:t>
      </w:r>
      <w:r w:rsidR="00A7177F" w:rsidRPr="00A7177F">
        <w:rPr>
          <w:b w:val="0"/>
          <w:lang w:val="en-US"/>
        </w:rPr>
        <w:t>VII</w:t>
      </w:r>
      <w:r w:rsidR="00A7177F" w:rsidRPr="00A7177F">
        <w:rPr>
          <w:b w:val="0"/>
        </w:rPr>
        <w:t xml:space="preserve"> від 27.10.2016 р. «Про затвердження Методики розрахунку орендної плати за</w:t>
      </w:r>
      <w:r w:rsidR="002E1ABB">
        <w:rPr>
          <w:b w:val="0"/>
        </w:rPr>
        <w:t xml:space="preserve"> </w:t>
      </w:r>
      <w:r w:rsidR="00A7177F" w:rsidRPr="00A7177F">
        <w:rPr>
          <w:b w:val="0"/>
        </w:rPr>
        <w:t>комунальне майно територіальної громади м. Марганець та</w:t>
      </w:r>
      <w:r w:rsidR="00A7177F">
        <w:rPr>
          <w:b w:val="0"/>
        </w:rPr>
        <w:t xml:space="preserve"> </w:t>
      </w:r>
      <w:r w:rsidR="00A7177F" w:rsidRPr="00A7177F">
        <w:rPr>
          <w:b w:val="0"/>
        </w:rPr>
        <w:t>пропорції її розподілу»</w:t>
      </w:r>
    </w:p>
    <w:p w:rsidR="00A7177F" w:rsidRPr="00A7177F" w:rsidRDefault="00A7177F" w:rsidP="00A7177F">
      <w:pPr>
        <w:pStyle w:val="Bodytext30"/>
        <w:shd w:val="clear" w:color="auto" w:fill="auto"/>
        <w:spacing w:before="0" w:after="0" w:line="240" w:lineRule="auto"/>
        <w:ind w:left="20"/>
        <w:jc w:val="both"/>
        <w:rPr>
          <w:b w:val="0"/>
        </w:rPr>
      </w:pPr>
    </w:p>
    <w:p w:rsidR="008D5DD9" w:rsidRDefault="00C250F0">
      <w:pPr>
        <w:pStyle w:val="Bodytext50"/>
        <w:numPr>
          <w:ilvl w:val="0"/>
          <w:numId w:val="1"/>
        </w:numPr>
        <w:shd w:val="clear" w:color="auto" w:fill="auto"/>
        <w:tabs>
          <w:tab w:val="left" w:pos="327"/>
        </w:tabs>
        <w:spacing w:before="0" w:after="269"/>
      </w:pPr>
      <w:r>
        <w:t>Цілі державного регулювання</w:t>
      </w:r>
    </w:p>
    <w:p w:rsidR="008D5DD9" w:rsidRDefault="00C250F0">
      <w:pPr>
        <w:pStyle w:val="Bodytext20"/>
        <w:shd w:val="clear" w:color="auto" w:fill="auto"/>
        <w:spacing w:before="0" w:after="0" w:line="302" w:lineRule="exact"/>
        <w:ind w:firstLine="740"/>
      </w:pPr>
      <w:r>
        <w:t>Проект є нормативно-правовим актом, який спрямований на удосконалення правового регулювання орендних відносин з суб'єктами господарювання та порядку розрахунку орендної плати, за користування комунальним майном. Основні цілі:</w:t>
      </w:r>
    </w:p>
    <w:p w:rsidR="008D5DD9" w:rsidRDefault="00C250F0">
      <w:pPr>
        <w:pStyle w:val="Bodytext20"/>
        <w:numPr>
          <w:ilvl w:val="0"/>
          <w:numId w:val="2"/>
        </w:numPr>
        <w:shd w:val="clear" w:color="auto" w:fill="auto"/>
        <w:tabs>
          <w:tab w:val="left" w:pos="966"/>
        </w:tabs>
        <w:spacing w:before="0" w:after="0" w:line="302" w:lineRule="exact"/>
        <w:ind w:firstLine="740"/>
      </w:pPr>
      <w:r>
        <w:t>ефективність використання ресурсів територіальної громади міста;</w:t>
      </w:r>
    </w:p>
    <w:p w:rsidR="008D5DD9" w:rsidRDefault="00C250F0">
      <w:pPr>
        <w:pStyle w:val="Bodytext20"/>
        <w:numPr>
          <w:ilvl w:val="0"/>
          <w:numId w:val="2"/>
        </w:numPr>
        <w:shd w:val="clear" w:color="auto" w:fill="auto"/>
        <w:tabs>
          <w:tab w:val="left" w:pos="924"/>
        </w:tabs>
        <w:spacing w:before="0" w:after="0" w:line="302" w:lineRule="exact"/>
        <w:ind w:firstLine="740"/>
      </w:pPr>
      <w:r>
        <w:t>забезпечення дотримання вимог чинного законодавства щодо орендних відносин;</w:t>
      </w:r>
    </w:p>
    <w:p w:rsidR="008D5DD9" w:rsidRDefault="00C250F0">
      <w:pPr>
        <w:pStyle w:val="Bodytext20"/>
        <w:numPr>
          <w:ilvl w:val="0"/>
          <w:numId w:val="2"/>
        </w:numPr>
        <w:shd w:val="clear" w:color="auto" w:fill="auto"/>
        <w:tabs>
          <w:tab w:val="left" w:pos="924"/>
        </w:tabs>
        <w:spacing w:before="0" w:after="0" w:line="302" w:lineRule="exact"/>
        <w:ind w:firstLine="740"/>
      </w:pPr>
      <w:r>
        <w:t>удосконалення єдиного організаційного та економічного механізму розрахунку орендної плати за комунальне майно;</w:t>
      </w:r>
    </w:p>
    <w:p w:rsidR="008D5DD9" w:rsidRDefault="00C250F0">
      <w:pPr>
        <w:pStyle w:val="Bodytext20"/>
        <w:shd w:val="clear" w:color="auto" w:fill="auto"/>
        <w:spacing w:before="0" w:after="292" w:line="302" w:lineRule="exact"/>
        <w:ind w:firstLine="1160"/>
        <w:jc w:val="left"/>
      </w:pPr>
      <w:r>
        <w:t>стимулювання пріоритетних для міста Марганець напрямів підприємницької діяльності.</w:t>
      </w:r>
    </w:p>
    <w:p w:rsidR="008D5DD9" w:rsidRDefault="00C250F0">
      <w:pPr>
        <w:pStyle w:val="Bodytext50"/>
        <w:numPr>
          <w:ilvl w:val="0"/>
          <w:numId w:val="1"/>
        </w:numPr>
        <w:shd w:val="clear" w:color="auto" w:fill="auto"/>
        <w:tabs>
          <w:tab w:val="left" w:pos="341"/>
        </w:tabs>
        <w:spacing w:before="0" w:after="263"/>
      </w:pPr>
      <w:r>
        <w:t>Обґрунтування переваг обраного виду правового регулювання</w:t>
      </w:r>
    </w:p>
    <w:p w:rsidR="008D5DD9" w:rsidRDefault="00C250F0">
      <w:pPr>
        <w:pStyle w:val="Bodytext20"/>
        <w:shd w:val="clear" w:color="auto" w:fill="auto"/>
        <w:spacing w:before="0" w:after="269"/>
        <w:ind w:firstLine="740"/>
      </w:pPr>
      <w:r>
        <w:t>Вирішення питань, зазначених у пункті 1 цього Аналізу, можливе лише шляхом нормативного закріплення, тобто прийняття проекту рішення. За допомогою чинної Методики питання не може бути вирішено, оскільки законодавчі акти зазнали змін. Відповідно до ст. 19 Закону України «Про оренду державного та комунального майна», органам місцевого самоврядування надається право затверджувати Методику.</w:t>
      </w:r>
    </w:p>
    <w:p w:rsidR="00D16767" w:rsidRDefault="00D16767">
      <w:pPr>
        <w:pStyle w:val="Bodytext20"/>
        <w:shd w:val="clear" w:color="auto" w:fill="auto"/>
        <w:spacing w:before="0" w:after="269"/>
        <w:ind w:firstLine="740"/>
      </w:pPr>
    </w:p>
    <w:p w:rsidR="008D5DD9" w:rsidRDefault="00C250F0">
      <w:pPr>
        <w:pStyle w:val="Bodytext20"/>
        <w:shd w:val="clear" w:color="auto" w:fill="auto"/>
        <w:spacing w:before="0" w:after="286" w:line="324" w:lineRule="exact"/>
        <w:ind w:firstLine="740"/>
      </w:pPr>
      <w:r>
        <w:lastRenderedPageBreak/>
        <w:t>В якості альтернативи до запропонованого регуляторного акту розглядаються:</w:t>
      </w:r>
    </w:p>
    <w:p w:rsidR="008D5DD9" w:rsidRDefault="00C250F0">
      <w:pPr>
        <w:pStyle w:val="Bodytext20"/>
        <w:numPr>
          <w:ilvl w:val="0"/>
          <w:numId w:val="2"/>
        </w:numPr>
        <w:shd w:val="clear" w:color="auto" w:fill="auto"/>
        <w:tabs>
          <w:tab w:val="left" w:pos="908"/>
        </w:tabs>
        <w:spacing w:before="0" w:after="0" w:line="317" w:lineRule="exact"/>
        <w:ind w:firstLine="740"/>
      </w:pPr>
      <w:r>
        <w:t>«Методика розрахунку орендної плати за державне майно та пропорції її розподілу», затверджена постановою Кабінету Міністрів України від 4 жовтня 1995 року № 786 із змінами.</w:t>
      </w:r>
    </w:p>
    <w:p w:rsidR="008D5DD9" w:rsidRDefault="00C250F0">
      <w:pPr>
        <w:pStyle w:val="Bodytext20"/>
        <w:numPr>
          <w:ilvl w:val="0"/>
          <w:numId w:val="2"/>
        </w:numPr>
        <w:shd w:val="clear" w:color="auto" w:fill="auto"/>
        <w:tabs>
          <w:tab w:val="left" w:pos="966"/>
        </w:tabs>
        <w:spacing w:before="0" w:after="0" w:line="317" w:lineRule="exact"/>
        <w:ind w:firstLine="740"/>
      </w:pPr>
      <w:r>
        <w:t>досвід інших міст України щодо затвердження власних методик.</w:t>
      </w:r>
    </w:p>
    <w:p w:rsidR="00D16767" w:rsidRDefault="00D16767" w:rsidP="00D16767">
      <w:pPr>
        <w:pStyle w:val="Bodytext50"/>
        <w:shd w:val="clear" w:color="auto" w:fill="auto"/>
        <w:tabs>
          <w:tab w:val="left" w:pos="332"/>
        </w:tabs>
        <w:spacing w:before="0" w:after="269"/>
        <w:jc w:val="both"/>
      </w:pPr>
    </w:p>
    <w:p w:rsidR="008D5DD9" w:rsidRDefault="00C250F0">
      <w:pPr>
        <w:pStyle w:val="Bodytext50"/>
        <w:numPr>
          <w:ilvl w:val="0"/>
          <w:numId w:val="1"/>
        </w:numPr>
        <w:shd w:val="clear" w:color="auto" w:fill="auto"/>
        <w:tabs>
          <w:tab w:val="left" w:pos="332"/>
        </w:tabs>
        <w:spacing w:before="0" w:after="269"/>
        <w:jc w:val="both"/>
      </w:pPr>
      <w:r>
        <w:t>Механізм розв'язання проблеми</w:t>
      </w:r>
    </w:p>
    <w:p w:rsidR="008D5DD9" w:rsidRDefault="00C250F0">
      <w:pPr>
        <w:pStyle w:val="Bodytext20"/>
        <w:shd w:val="clear" w:color="auto" w:fill="auto"/>
        <w:spacing w:before="0" w:after="0" w:line="302" w:lineRule="exact"/>
        <w:ind w:firstLine="740"/>
      </w:pPr>
      <w:r>
        <w:t>Проблеми, які зумовили необхідність прийняття запропонованого проекту регуляторного акту, вирішуються шляхом:</w:t>
      </w:r>
    </w:p>
    <w:p w:rsidR="008D5DD9" w:rsidRDefault="00C250F0">
      <w:pPr>
        <w:pStyle w:val="Bodytext20"/>
        <w:numPr>
          <w:ilvl w:val="0"/>
          <w:numId w:val="2"/>
        </w:numPr>
        <w:shd w:val="clear" w:color="auto" w:fill="auto"/>
        <w:tabs>
          <w:tab w:val="left" w:pos="949"/>
        </w:tabs>
        <w:spacing w:before="0" w:after="0" w:line="302" w:lineRule="exact"/>
        <w:ind w:firstLine="740"/>
      </w:pPr>
      <w:r>
        <w:t>приведення Методики у відповідність до вимог Закону України «Про оренду державного та комунального майна»;</w:t>
      </w:r>
    </w:p>
    <w:p w:rsidR="008D5DD9" w:rsidRDefault="00C250F0">
      <w:pPr>
        <w:pStyle w:val="Bodytext20"/>
        <w:numPr>
          <w:ilvl w:val="0"/>
          <w:numId w:val="2"/>
        </w:numPr>
        <w:shd w:val="clear" w:color="auto" w:fill="auto"/>
        <w:tabs>
          <w:tab w:val="left" w:pos="949"/>
        </w:tabs>
        <w:spacing w:before="0" w:after="0" w:line="302" w:lineRule="exact"/>
        <w:ind w:firstLine="740"/>
      </w:pPr>
      <w:r>
        <w:t>застосування елементу вивчення попиту на об’єкти комунальної власності, що значною мірою збільшить ефективність використання об’єктів комунальної власності за рахунок спрощення процедури укладення договорів оренди ;</w:t>
      </w:r>
    </w:p>
    <w:p w:rsidR="008D5DD9" w:rsidRDefault="00C250F0">
      <w:pPr>
        <w:pStyle w:val="Bodytext20"/>
        <w:numPr>
          <w:ilvl w:val="0"/>
          <w:numId w:val="2"/>
        </w:numPr>
        <w:shd w:val="clear" w:color="auto" w:fill="auto"/>
        <w:tabs>
          <w:tab w:val="left" w:pos="949"/>
        </w:tabs>
        <w:spacing w:before="0" w:after="0" w:line="302" w:lineRule="exact"/>
        <w:ind w:firstLine="740"/>
      </w:pPr>
      <w:r>
        <w:t>необхідність застосування для розрахунку орендної плати за користування комунальним майном тих самих методологічних засад, як і для об’єктів, що перебувають у державній власності;</w:t>
      </w:r>
    </w:p>
    <w:p w:rsidR="008D5DD9" w:rsidRDefault="00C250F0">
      <w:pPr>
        <w:pStyle w:val="Bodytext20"/>
        <w:numPr>
          <w:ilvl w:val="0"/>
          <w:numId w:val="2"/>
        </w:numPr>
        <w:shd w:val="clear" w:color="auto" w:fill="auto"/>
        <w:tabs>
          <w:tab w:val="left" w:pos="949"/>
        </w:tabs>
        <w:spacing w:before="0" w:after="0" w:line="302" w:lineRule="exact"/>
        <w:ind w:firstLine="740"/>
      </w:pPr>
      <w:r>
        <w:t>ознайомлення суб’єктів господарської діяльності з даним регуляторним актом;</w:t>
      </w:r>
    </w:p>
    <w:p w:rsidR="008D5DD9" w:rsidRDefault="00C250F0">
      <w:pPr>
        <w:pStyle w:val="Bodytext20"/>
        <w:numPr>
          <w:ilvl w:val="0"/>
          <w:numId w:val="2"/>
        </w:numPr>
        <w:shd w:val="clear" w:color="auto" w:fill="auto"/>
        <w:tabs>
          <w:tab w:val="left" w:pos="949"/>
        </w:tabs>
        <w:spacing w:before="0" w:after="0" w:line="302" w:lineRule="exact"/>
        <w:ind w:firstLine="740"/>
      </w:pPr>
      <w:r>
        <w:t>проведення обговорення проекту регуляторного акту з метою отримання пропозицій.</w:t>
      </w:r>
    </w:p>
    <w:p w:rsidR="008D5DD9" w:rsidRDefault="00C250F0">
      <w:pPr>
        <w:pStyle w:val="Bodytext20"/>
        <w:shd w:val="clear" w:color="auto" w:fill="auto"/>
        <w:spacing w:before="0" w:after="274" w:line="302" w:lineRule="exact"/>
        <w:ind w:firstLine="740"/>
      </w:pPr>
      <w:r>
        <w:t>Дія регуляторного акту поширюється на усіх суб’єктів орендних відносин щодо комунального майна територіальної громади міста Марганець.</w:t>
      </w:r>
    </w:p>
    <w:p w:rsidR="008D5DD9" w:rsidRDefault="00C250F0">
      <w:pPr>
        <w:pStyle w:val="Bodytext50"/>
        <w:numPr>
          <w:ilvl w:val="0"/>
          <w:numId w:val="1"/>
        </w:numPr>
        <w:shd w:val="clear" w:color="auto" w:fill="auto"/>
        <w:tabs>
          <w:tab w:val="left" w:pos="533"/>
        </w:tabs>
        <w:spacing w:before="0" w:after="286" w:line="310" w:lineRule="exact"/>
        <w:jc w:val="both"/>
      </w:pPr>
      <w:r>
        <w:t>Обґрунтування можливості досягнення цілей у разі прийняття запропонованого регуляторного акту</w:t>
      </w:r>
    </w:p>
    <w:p w:rsidR="008D5DD9" w:rsidRDefault="00D16767">
      <w:pPr>
        <w:pStyle w:val="Bodytext20"/>
        <w:shd w:val="clear" w:color="auto" w:fill="auto"/>
        <w:spacing w:before="0" w:after="292" w:line="302" w:lineRule="exact"/>
      </w:pPr>
      <w:r>
        <w:t xml:space="preserve">         </w:t>
      </w:r>
      <w:r w:rsidR="00C250F0">
        <w:t xml:space="preserve">Прийняття Методики дозволить удосконалити порядок розрахунку орендної плати, привести у відповідність до діючого законодавства </w:t>
      </w:r>
      <w:proofErr w:type="spellStart"/>
      <w:r w:rsidR="00C250F0">
        <w:t>організаційно-</w:t>
      </w:r>
      <w:proofErr w:type="spellEnd"/>
      <w:r w:rsidR="00C250F0">
        <w:t xml:space="preserve"> економічний механізм передачі в оренду майна територіальної громади міста та позитивно вплине на ефективність поповнення бюджету.</w:t>
      </w:r>
    </w:p>
    <w:p w:rsidR="008D5DD9" w:rsidRDefault="00C250F0">
      <w:pPr>
        <w:pStyle w:val="Bodytext50"/>
        <w:numPr>
          <w:ilvl w:val="0"/>
          <w:numId w:val="1"/>
        </w:numPr>
        <w:shd w:val="clear" w:color="auto" w:fill="auto"/>
        <w:tabs>
          <w:tab w:val="left" w:pos="325"/>
        </w:tabs>
        <w:spacing w:before="0" w:after="269"/>
        <w:jc w:val="both"/>
      </w:pPr>
      <w:r>
        <w:t>Очікуванні результати прийняття запропонованого регуляторного акту</w:t>
      </w:r>
    </w:p>
    <w:p w:rsidR="008D5DD9" w:rsidRDefault="00D16767">
      <w:pPr>
        <w:pStyle w:val="Bodytext20"/>
        <w:shd w:val="clear" w:color="auto" w:fill="auto"/>
        <w:spacing w:before="0" w:after="1440" w:line="302" w:lineRule="exact"/>
      </w:pPr>
      <w:r>
        <w:t xml:space="preserve">        </w:t>
      </w:r>
      <w:r w:rsidR="00C250F0">
        <w:t>Прийняття рішення дозволить вдосконалити Методику, єдиний економічний механізм при проведенні розрахунку орендної плати, врахує пріоритети при використанні майна комунальної власності.</w:t>
      </w:r>
    </w:p>
    <w:tbl>
      <w:tblPr>
        <w:tblOverlap w:val="never"/>
        <w:tblW w:w="0" w:type="auto"/>
        <w:jc w:val="center"/>
        <w:tblLayout w:type="fixed"/>
        <w:tblCellMar>
          <w:left w:w="10" w:type="dxa"/>
          <w:right w:w="10" w:type="dxa"/>
        </w:tblCellMar>
        <w:tblLook w:val="0000"/>
      </w:tblPr>
      <w:tblGrid>
        <w:gridCol w:w="2218"/>
        <w:gridCol w:w="4651"/>
        <w:gridCol w:w="2549"/>
      </w:tblGrid>
      <w:tr w:rsidR="008D5DD9">
        <w:trPr>
          <w:trHeight w:hRule="exact" w:val="317"/>
          <w:jc w:val="center"/>
        </w:trPr>
        <w:tc>
          <w:tcPr>
            <w:tcW w:w="2218" w:type="dxa"/>
            <w:tcBorders>
              <w:top w:val="single" w:sz="4" w:space="0" w:color="auto"/>
              <w:left w:val="single" w:sz="4" w:space="0" w:color="auto"/>
            </w:tcBorders>
            <w:shd w:val="clear" w:color="auto" w:fill="FFFFFF"/>
            <w:vAlign w:val="bottom"/>
          </w:tcPr>
          <w:p w:rsidR="008D5DD9" w:rsidRDefault="00C250F0">
            <w:pPr>
              <w:pStyle w:val="Bodytext20"/>
              <w:framePr w:w="9418" w:wrap="notBeside" w:vAnchor="text" w:hAnchor="text" w:xAlign="center" w:y="1"/>
              <w:shd w:val="clear" w:color="auto" w:fill="auto"/>
              <w:spacing w:before="0" w:after="0" w:line="244" w:lineRule="exact"/>
              <w:jc w:val="center"/>
            </w:pPr>
            <w:r>
              <w:rPr>
                <w:rStyle w:val="Bodytext211ptBold"/>
              </w:rPr>
              <w:lastRenderedPageBreak/>
              <w:t>Сфера впливу</w:t>
            </w:r>
          </w:p>
        </w:tc>
        <w:tc>
          <w:tcPr>
            <w:tcW w:w="4651" w:type="dxa"/>
            <w:tcBorders>
              <w:top w:val="single" w:sz="4" w:space="0" w:color="auto"/>
              <w:left w:val="single" w:sz="4" w:space="0" w:color="auto"/>
            </w:tcBorders>
            <w:shd w:val="clear" w:color="auto" w:fill="FFFFFF"/>
            <w:vAlign w:val="bottom"/>
          </w:tcPr>
          <w:p w:rsidR="008D5DD9" w:rsidRDefault="00C250F0">
            <w:pPr>
              <w:pStyle w:val="Bodytext20"/>
              <w:framePr w:w="9418" w:wrap="notBeside" w:vAnchor="text" w:hAnchor="text" w:xAlign="center" w:y="1"/>
              <w:shd w:val="clear" w:color="auto" w:fill="auto"/>
              <w:spacing w:before="0" w:after="0" w:line="244" w:lineRule="exact"/>
              <w:jc w:val="center"/>
            </w:pPr>
            <w:r>
              <w:rPr>
                <w:rStyle w:val="Bodytext211ptBold"/>
              </w:rPr>
              <w:t>Вигоди</w:t>
            </w:r>
          </w:p>
        </w:tc>
        <w:tc>
          <w:tcPr>
            <w:tcW w:w="2549" w:type="dxa"/>
            <w:tcBorders>
              <w:top w:val="single" w:sz="4" w:space="0" w:color="auto"/>
              <w:left w:val="single" w:sz="4" w:space="0" w:color="auto"/>
              <w:right w:val="single" w:sz="4" w:space="0" w:color="auto"/>
            </w:tcBorders>
            <w:shd w:val="clear" w:color="auto" w:fill="FFFFFF"/>
            <w:vAlign w:val="bottom"/>
          </w:tcPr>
          <w:p w:rsidR="008D5DD9" w:rsidRDefault="00C250F0">
            <w:pPr>
              <w:pStyle w:val="Bodytext20"/>
              <w:framePr w:w="9418" w:wrap="notBeside" w:vAnchor="text" w:hAnchor="text" w:xAlign="center" w:y="1"/>
              <w:shd w:val="clear" w:color="auto" w:fill="auto"/>
              <w:spacing w:before="0" w:after="0" w:line="244" w:lineRule="exact"/>
              <w:jc w:val="center"/>
            </w:pPr>
            <w:r>
              <w:rPr>
                <w:rStyle w:val="Bodytext211ptBold"/>
              </w:rPr>
              <w:t>Витрати</w:t>
            </w:r>
          </w:p>
        </w:tc>
      </w:tr>
      <w:tr w:rsidR="008D5DD9">
        <w:trPr>
          <w:trHeight w:hRule="exact" w:val="1152"/>
          <w:jc w:val="center"/>
        </w:trPr>
        <w:tc>
          <w:tcPr>
            <w:tcW w:w="2218" w:type="dxa"/>
            <w:tcBorders>
              <w:top w:val="single" w:sz="4" w:space="0" w:color="auto"/>
              <w:left w:val="single" w:sz="4" w:space="0" w:color="auto"/>
            </w:tcBorders>
            <w:shd w:val="clear" w:color="auto" w:fill="FFFFFF"/>
            <w:vAlign w:val="center"/>
          </w:tcPr>
          <w:p w:rsidR="008D5DD9" w:rsidRDefault="00C250F0">
            <w:pPr>
              <w:pStyle w:val="Bodytext20"/>
              <w:framePr w:w="9418" w:wrap="notBeside" w:vAnchor="text" w:hAnchor="text" w:xAlign="center" w:y="1"/>
              <w:shd w:val="clear" w:color="auto" w:fill="auto"/>
              <w:spacing w:before="0" w:after="0" w:line="274" w:lineRule="exact"/>
            </w:pPr>
            <w:r>
              <w:rPr>
                <w:rStyle w:val="Bodytext211ptBold"/>
              </w:rPr>
              <w:t>Органи місцевого самоврядування</w:t>
            </w:r>
          </w:p>
        </w:tc>
        <w:tc>
          <w:tcPr>
            <w:tcW w:w="4651" w:type="dxa"/>
            <w:tcBorders>
              <w:top w:val="single" w:sz="4" w:space="0" w:color="auto"/>
              <w:left w:val="single" w:sz="4" w:space="0" w:color="auto"/>
            </w:tcBorders>
            <w:shd w:val="clear" w:color="auto" w:fill="FFFFFF"/>
            <w:vAlign w:val="bottom"/>
          </w:tcPr>
          <w:p w:rsidR="008D5DD9" w:rsidRDefault="00C250F0">
            <w:pPr>
              <w:pStyle w:val="Bodytext20"/>
              <w:framePr w:w="9418" w:wrap="notBeside" w:vAnchor="text" w:hAnchor="text" w:xAlign="center" w:y="1"/>
              <w:shd w:val="clear" w:color="auto" w:fill="auto"/>
              <w:spacing w:before="0" w:after="0" w:line="274" w:lineRule="exact"/>
            </w:pPr>
            <w:r>
              <w:rPr>
                <w:rStyle w:val="Bodytext211pt"/>
              </w:rPr>
              <w:t>Удосконалення механізму розрахунку орендної плати комунального майна, контроль за її нарахуванням. Стимулювання розвитку підприємницької діяльності</w:t>
            </w:r>
          </w:p>
        </w:tc>
        <w:tc>
          <w:tcPr>
            <w:tcW w:w="2549" w:type="dxa"/>
            <w:tcBorders>
              <w:top w:val="single" w:sz="4" w:space="0" w:color="auto"/>
              <w:left w:val="single" w:sz="4" w:space="0" w:color="auto"/>
              <w:right w:val="single" w:sz="4" w:space="0" w:color="auto"/>
            </w:tcBorders>
            <w:shd w:val="clear" w:color="auto" w:fill="FFFFFF"/>
            <w:vAlign w:val="bottom"/>
          </w:tcPr>
          <w:p w:rsidR="008D5DD9" w:rsidRDefault="00C250F0">
            <w:pPr>
              <w:pStyle w:val="Bodytext20"/>
              <w:framePr w:w="9418" w:wrap="notBeside" w:vAnchor="text" w:hAnchor="text" w:xAlign="center" w:y="1"/>
              <w:shd w:val="clear" w:color="auto" w:fill="auto"/>
              <w:spacing w:before="0" w:after="0" w:line="266" w:lineRule="exact"/>
              <w:jc w:val="left"/>
            </w:pPr>
            <w:r>
              <w:rPr>
                <w:rStyle w:val="Bodytext211pt"/>
              </w:rPr>
              <w:t>Витрати робочого часу, пов’язані з підготовкою</w:t>
            </w:r>
          </w:p>
          <w:p w:rsidR="008D5DD9" w:rsidRDefault="00C250F0">
            <w:pPr>
              <w:pStyle w:val="Bodytext20"/>
              <w:framePr w:w="9418" w:wrap="notBeside" w:vAnchor="text" w:hAnchor="text" w:xAlign="center" w:y="1"/>
              <w:shd w:val="clear" w:color="auto" w:fill="auto"/>
              <w:spacing w:before="0" w:after="0" w:line="266" w:lineRule="exact"/>
              <w:jc w:val="left"/>
            </w:pPr>
            <w:r>
              <w:rPr>
                <w:rStyle w:val="Bodytext211pt"/>
              </w:rPr>
              <w:t>та виконанням вимог</w:t>
            </w:r>
          </w:p>
          <w:p w:rsidR="008D5DD9" w:rsidRDefault="00C250F0">
            <w:pPr>
              <w:pStyle w:val="Bodytext20"/>
              <w:framePr w:w="9418" w:wrap="notBeside" w:vAnchor="text" w:hAnchor="text" w:xAlign="center" w:y="1"/>
              <w:shd w:val="clear" w:color="auto" w:fill="auto"/>
              <w:spacing w:before="0" w:after="0" w:line="244" w:lineRule="exact"/>
              <w:jc w:val="left"/>
            </w:pPr>
            <w:r>
              <w:rPr>
                <w:rStyle w:val="Bodytext211pt"/>
              </w:rPr>
              <w:t>регуляторного акту</w:t>
            </w:r>
          </w:p>
        </w:tc>
      </w:tr>
      <w:tr w:rsidR="008D5DD9" w:rsidTr="00D16767">
        <w:trPr>
          <w:trHeight w:hRule="exact" w:val="2359"/>
          <w:jc w:val="center"/>
        </w:trPr>
        <w:tc>
          <w:tcPr>
            <w:tcW w:w="2218" w:type="dxa"/>
            <w:tcBorders>
              <w:top w:val="single" w:sz="4" w:space="0" w:color="auto"/>
              <w:left w:val="single" w:sz="4" w:space="0" w:color="auto"/>
              <w:bottom w:val="single" w:sz="4" w:space="0" w:color="auto"/>
            </w:tcBorders>
            <w:shd w:val="clear" w:color="auto" w:fill="FFFFFF"/>
            <w:vAlign w:val="center"/>
          </w:tcPr>
          <w:p w:rsidR="008D5DD9" w:rsidRDefault="00C250F0">
            <w:pPr>
              <w:pStyle w:val="Bodytext20"/>
              <w:framePr w:w="9418" w:wrap="notBeside" w:vAnchor="text" w:hAnchor="text" w:xAlign="center" w:y="1"/>
              <w:shd w:val="clear" w:color="auto" w:fill="auto"/>
              <w:spacing w:before="0" w:after="320" w:line="244" w:lineRule="exact"/>
            </w:pPr>
            <w:r>
              <w:rPr>
                <w:rStyle w:val="Bodytext211ptBold"/>
              </w:rPr>
              <w:t>Суб’єкти</w:t>
            </w:r>
          </w:p>
          <w:p w:rsidR="008D5DD9" w:rsidRDefault="00C250F0">
            <w:pPr>
              <w:pStyle w:val="Bodytext20"/>
              <w:framePr w:w="9418" w:wrap="notBeside" w:vAnchor="text" w:hAnchor="text" w:xAlign="center" w:y="1"/>
              <w:shd w:val="clear" w:color="auto" w:fill="auto"/>
              <w:spacing w:before="320" w:after="0" w:line="244" w:lineRule="exact"/>
            </w:pPr>
            <w:r>
              <w:rPr>
                <w:rStyle w:val="Bodytext211ptBold"/>
              </w:rPr>
              <w:t>господарювання</w:t>
            </w:r>
          </w:p>
        </w:tc>
        <w:tc>
          <w:tcPr>
            <w:tcW w:w="4651" w:type="dxa"/>
            <w:tcBorders>
              <w:top w:val="single" w:sz="4" w:space="0" w:color="auto"/>
              <w:left w:val="single" w:sz="4" w:space="0" w:color="auto"/>
              <w:bottom w:val="single" w:sz="4" w:space="0" w:color="auto"/>
            </w:tcBorders>
            <w:shd w:val="clear" w:color="auto" w:fill="FFFFFF"/>
            <w:vAlign w:val="center"/>
          </w:tcPr>
          <w:p w:rsidR="008D5DD9" w:rsidRDefault="00C250F0">
            <w:pPr>
              <w:pStyle w:val="Bodytext20"/>
              <w:framePr w:w="9418" w:wrap="notBeside" w:vAnchor="text" w:hAnchor="text" w:xAlign="center" w:y="1"/>
              <w:shd w:val="clear" w:color="auto" w:fill="auto"/>
              <w:spacing w:before="0" w:after="0" w:line="274" w:lineRule="exact"/>
            </w:pPr>
            <w:r>
              <w:rPr>
                <w:rStyle w:val="Bodytext211pt"/>
              </w:rPr>
              <w:t>Спрощення процедури передачі в оренду майна. Розширення мережі послуг, які надаються орендарями для задоволення життєвих потреб</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bottom"/>
          </w:tcPr>
          <w:p w:rsidR="008D5DD9" w:rsidRDefault="00C250F0">
            <w:pPr>
              <w:pStyle w:val="Bodytext20"/>
              <w:framePr w:w="9418" w:wrap="notBeside" w:vAnchor="text" w:hAnchor="text" w:xAlign="center" w:y="1"/>
              <w:shd w:val="clear" w:color="auto" w:fill="auto"/>
              <w:tabs>
                <w:tab w:val="left" w:pos="1260"/>
              </w:tabs>
              <w:spacing w:before="0" w:after="0" w:line="274" w:lineRule="exact"/>
            </w:pPr>
            <w:r>
              <w:rPr>
                <w:rStyle w:val="Bodytext211pt"/>
              </w:rPr>
              <w:t>Витрати</w:t>
            </w:r>
            <w:r>
              <w:rPr>
                <w:rStyle w:val="Bodytext211pt"/>
              </w:rPr>
              <w:tab/>
              <w:t>передбачені</w:t>
            </w:r>
          </w:p>
          <w:p w:rsidR="008D5DD9" w:rsidRDefault="00C250F0">
            <w:pPr>
              <w:pStyle w:val="Bodytext20"/>
              <w:framePr w:w="9418" w:wrap="notBeside" w:vAnchor="text" w:hAnchor="text" w:xAlign="center" w:y="1"/>
              <w:shd w:val="clear" w:color="auto" w:fill="auto"/>
              <w:spacing w:before="0" w:after="0" w:line="274" w:lineRule="exact"/>
            </w:pPr>
            <w:r>
              <w:rPr>
                <w:rStyle w:val="Bodytext211pt"/>
              </w:rPr>
              <w:t>чинним</w:t>
            </w:r>
          </w:p>
          <w:p w:rsidR="008D5DD9" w:rsidRDefault="00C250F0">
            <w:pPr>
              <w:pStyle w:val="Bodytext20"/>
              <w:framePr w:w="9418" w:wrap="notBeside" w:vAnchor="text" w:hAnchor="text" w:xAlign="center" w:y="1"/>
              <w:shd w:val="clear" w:color="auto" w:fill="auto"/>
              <w:spacing w:before="0" w:after="0" w:line="274" w:lineRule="exact"/>
            </w:pPr>
            <w:r>
              <w:rPr>
                <w:rStyle w:val="Bodytext211pt"/>
              </w:rPr>
              <w:t>законодавством, а саме</w:t>
            </w:r>
          </w:p>
          <w:p w:rsidR="008D5DD9" w:rsidRDefault="00C250F0">
            <w:pPr>
              <w:pStyle w:val="Bodytext20"/>
              <w:framePr w:w="9418" w:wrap="notBeside" w:vAnchor="text" w:hAnchor="text" w:xAlign="center" w:y="1"/>
              <w:shd w:val="clear" w:color="auto" w:fill="auto"/>
              <w:tabs>
                <w:tab w:val="left" w:pos="1274"/>
                <w:tab w:val="left" w:pos="2282"/>
              </w:tabs>
              <w:spacing w:before="0" w:after="0" w:line="274" w:lineRule="exact"/>
            </w:pPr>
            <w:r>
              <w:rPr>
                <w:rStyle w:val="Bodytext211pt"/>
              </w:rPr>
              <w:t>орендна</w:t>
            </w:r>
            <w:r>
              <w:rPr>
                <w:rStyle w:val="Bodytext211pt"/>
              </w:rPr>
              <w:tab/>
              <w:t>плата</w:t>
            </w:r>
            <w:r>
              <w:rPr>
                <w:rStyle w:val="Bodytext211pt"/>
              </w:rPr>
              <w:tab/>
              <w:t>за</w:t>
            </w:r>
          </w:p>
          <w:p w:rsidR="008D5DD9" w:rsidRDefault="00C250F0">
            <w:pPr>
              <w:pStyle w:val="Bodytext20"/>
              <w:framePr w:w="9418" w:wrap="notBeside" w:vAnchor="text" w:hAnchor="text" w:xAlign="center" w:y="1"/>
              <w:shd w:val="clear" w:color="auto" w:fill="auto"/>
              <w:spacing w:before="0" w:after="0" w:line="274" w:lineRule="exact"/>
              <w:jc w:val="left"/>
            </w:pPr>
            <w:r>
              <w:rPr>
                <w:rStyle w:val="Bodytext211pt"/>
              </w:rPr>
              <w:t>користування комунальним майном територіальної громади міста Марганець</w:t>
            </w:r>
          </w:p>
        </w:tc>
      </w:tr>
    </w:tbl>
    <w:p w:rsidR="008D5DD9" w:rsidRDefault="008D5DD9">
      <w:pPr>
        <w:framePr w:w="9418" w:wrap="notBeside" w:vAnchor="text" w:hAnchor="text" w:xAlign="center" w:y="1"/>
        <w:rPr>
          <w:sz w:val="2"/>
          <w:szCs w:val="2"/>
        </w:rPr>
      </w:pPr>
    </w:p>
    <w:p w:rsidR="008D5DD9" w:rsidRDefault="008D5DD9">
      <w:pPr>
        <w:rPr>
          <w:sz w:val="2"/>
          <w:szCs w:val="2"/>
        </w:rPr>
      </w:pPr>
    </w:p>
    <w:tbl>
      <w:tblPr>
        <w:tblOverlap w:val="never"/>
        <w:tblW w:w="0" w:type="auto"/>
        <w:jc w:val="center"/>
        <w:tblLayout w:type="fixed"/>
        <w:tblCellMar>
          <w:left w:w="10" w:type="dxa"/>
          <w:right w:w="10" w:type="dxa"/>
        </w:tblCellMar>
        <w:tblLook w:val="0000"/>
      </w:tblPr>
      <w:tblGrid>
        <w:gridCol w:w="2218"/>
        <w:gridCol w:w="3449"/>
        <w:gridCol w:w="1195"/>
        <w:gridCol w:w="2534"/>
      </w:tblGrid>
      <w:tr w:rsidR="008D5DD9">
        <w:trPr>
          <w:trHeight w:hRule="exact" w:val="324"/>
          <w:jc w:val="center"/>
        </w:trPr>
        <w:tc>
          <w:tcPr>
            <w:tcW w:w="2218" w:type="dxa"/>
            <w:vMerge w:val="restart"/>
            <w:tcBorders>
              <w:top w:val="single" w:sz="4" w:space="0" w:color="auto"/>
              <w:left w:val="single" w:sz="4" w:space="0" w:color="auto"/>
            </w:tcBorders>
            <w:shd w:val="clear" w:color="auto" w:fill="FFFFFF"/>
            <w:vAlign w:val="center"/>
          </w:tcPr>
          <w:p w:rsidR="008D5DD9" w:rsidRDefault="00C250F0">
            <w:pPr>
              <w:pStyle w:val="Bodytext20"/>
              <w:framePr w:w="9396" w:wrap="notBeside" w:vAnchor="text" w:hAnchor="text" w:xAlign="center" w:y="1"/>
              <w:shd w:val="clear" w:color="auto" w:fill="auto"/>
              <w:spacing w:before="0" w:after="0" w:line="274" w:lineRule="exact"/>
              <w:jc w:val="left"/>
            </w:pPr>
            <w:r>
              <w:rPr>
                <w:rStyle w:val="Bodytext211ptBold"/>
              </w:rPr>
              <w:t>Територіальна громада, споживачі</w:t>
            </w:r>
          </w:p>
        </w:tc>
        <w:tc>
          <w:tcPr>
            <w:tcW w:w="3449" w:type="dxa"/>
            <w:tcBorders>
              <w:top w:val="single" w:sz="4" w:space="0" w:color="auto"/>
              <w:left w:val="single" w:sz="4" w:space="0" w:color="auto"/>
            </w:tcBorders>
            <w:shd w:val="clear" w:color="auto" w:fill="FFFFFF"/>
            <w:vAlign w:val="bottom"/>
          </w:tcPr>
          <w:p w:rsidR="008D5DD9" w:rsidRDefault="00C250F0">
            <w:pPr>
              <w:pStyle w:val="Bodytext20"/>
              <w:framePr w:w="9396" w:wrap="notBeside" w:vAnchor="text" w:hAnchor="text" w:xAlign="center" w:y="1"/>
              <w:shd w:val="clear" w:color="auto" w:fill="auto"/>
              <w:spacing w:before="0" w:after="0" w:line="244" w:lineRule="exact"/>
            </w:pPr>
            <w:r>
              <w:rPr>
                <w:rStyle w:val="Bodytext211pt"/>
              </w:rPr>
              <w:t>Стабільні надходження до</w:t>
            </w:r>
          </w:p>
        </w:tc>
        <w:tc>
          <w:tcPr>
            <w:tcW w:w="1195" w:type="dxa"/>
            <w:tcBorders>
              <w:top w:val="single" w:sz="4" w:space="0" w:color="auto"/>
            </w:tcBorders>
            <w:shd w:val="clear" w:color="auto" w:fill="FFFFFF"/>
            <w:vAlign w:val="bottom"/>
          </w:tcPr>
          <w:p w:rsidR="008D5DD9" w:rsidRDefault="00C250F0">
            <w:pPr>
              <w:pStyle w:val="Bodytext20"/>
              <w:framePr w:w="9396" w:wrap="notBeside" w:vAnchor="text" w:hAnchor="text" w:xAlign="center" w:y="1"/>
              <w:shd w:val="clear" w:color="auto" w:fill="auto"/>
              <w:spacing w:before="0" w:after="0" w:line="244" w:lineRule="exact"/>
              <w:jc w:val="left"/>
            </w:pPr>
            <w:r>
              <w:rPr>
                <w:rStyle w:val="Bodytext211pt"/>
              </w:rPr>
              <w:t>місцевого</w:t>
            </w:r>
          </w:p>
        </w:tc>
        <w:tc>
          <w:tcPr>
            <w:tcW w:w="2534" w:type="dxa"/>
            <w:tcBorders>
              <w:top w:val="single" w:sz="4" w:space="0" w:color="auto"/>
              <w:left w:val="single" w:sz="4" w:space="0" w:color="auto"/>
              <w:right w:val="single" w:sz="4" w:space="0" w:color="auto"/>
            </w:tcBorders>
            <w:shd w:val="clear" w:color="auto" w:fill="FFFFFF"/>
          </w:tcPr>
          <w:p w:rsidR="008D5DD9" w:rsidRDefault="008D5DD9">
            <w:pPr>
              <w:framePr w:w="9396" w:wrap="notBeside" w:vAnchor="text" w:hAnchor="text" w:xAlign="center" w:y="1"/>
              <w:rPr>
                <w:sz w:val="10"/>
                <w:szCs w:val="10"/>
              </w:rPr>
            </w:pPr>
          </w:p>
        </w:tc>
      </w:tr>
      <w:tr w:rsidR="008D5DD9">
        <w:trPr>
          <w:trHeight w:hRule="exact" w:val="562"/>
          <w:jc w:val="center"/>
        </w:trPr>
        <w:tc>
          <w:tcPr>
            <w:tcW w:w="2218" w:type="dxa"/>
            <w:vMerge/>
            <w:tcBorders>
              <w:left w:val="single" w:sz="4" w:space="0" w:color="auto"/>
              <w:bottom w:val="single" w:sz="4" w:space="0" w:color="auto"/>
            </w:tcBorders>
            <w:shd w:val="clear" w:color="auto" w:fill="FFFFFF"/>
            <w:vAlign w:val="center"/>
          </w:tcPr>
          <w:p w:rsidR="008D5DD9" w:rsidRDefault="008D5DD9">
            <w:pPr>
              <w:framePr w:w="9396" w:wrap="notBeside" w:vAnchor="text" w:hAnchor="text" w:xAlign="center" w:y="1"/>
            </w:pPr>
          </w:p>
        </w:tc>
        <w:tc>
          <w:tcPr>
            <w:tcW w:w="3449" w:type="dxa"/>
            <w:tcBorders>
              <w:left w:val="single" w:sz="4" w:space="0" w:color="auto"/>
              <w:bottom w:val="single" w:sz="4" w:space="0" w:color="auto"/>
            </w:tcBorders>
            <w:shd w:val="clear" w:color="auto" w:fill="FFFFFF"/>
          </w:tcPr>
          <w:p w:rsidR="008D5DD9" w:rsidRDefault="00C250F0">
            <w:pPr>
              <w:pStyle w:val="Bodytext20"/>
              <w:framePr w:w="9396" w:wrap="notBeside" w:vAnchor="text" w:hAnchor="text" w:xAlign="center" w:y="1"/>
              <w:shd w:val="clear" w:color="auto" w:fill="auto"/>
              <w:spacing w:before="0" w:after="0" w:line="266" w:lineRule="exact"/>
            </w:pPr>
            <w:r>
              <w:rPr>
                <w:rStyle w:val="Bodytext211pt"/>
              </w:rPr>
              <w:t>бюджету від орендної плати, використання об’єктів оренди</w:t>
            </w:r>
          </w:p>
        </w:tc>
        <w:tc>
          <w:tcPr>
            <w:tcW w:w="1195" w:type="dxa"/>
            <w:tcBorders>
              <w:bottom w:val="single" w:sz="4" w:space="0" w:color="auto"/>
            </w:tcBorders>
            <w:shd w:val="clear" w:color="auto" w:fill="FFFFFF"/>
          </w:tcPr>
          <w:p w:rsidR="008D5DD9" w:rsidRDefault="00C250F0">
            <w:pPr>
              <w:pStyle w:val="Bodytext20"/>
              <w:framePr w:w="9396" w:wrap="notBeside" w:vAnchor="text" w:hAnchor="text" w:xAlign="center" w:y="1"/>
              <w:shd w:val="clear" w:color="auto" w:fill="auto"/>
              <w:spacing w:before="0" w:after="0" w:line="244" w:lineRule="exact"/>
              <w:jc w:val="left"/>
            </w:pPr>
            <w:r>
              <w:rPr>
                <w:rStyle w:val="Bodytext211pt"/>
              </w:rPr>
              <w:t>ефективне</w:t>
            </w:r>
          </w:p>
        </w:tc>
        <w:tc>
          <w:tcPr>
            <w:tcW w:w="2534" w:type="dxa"/>
            <w:tcBorders>
              <w:left w:val="single" w:sz="4" w:space="0" w:color="auto"/>
              <w:bottom w:val="single" w:sz="4" w:space="0" w:color="auto"/>
              <w:right w:val="single" w:sz="4" w:space="0" w:color="auto"/>
            </w:tcBorders>
            <w:shd w:val="clear" w:color="auto" w:fill="FFFFFF"/>
          </w:tcPr>
          <w:p w:rsidR="008D5DD9" w:rsidRDefault="00C250F0">
            <w:pPr>
              <w:pStyle w:val="Bodytext20"/>
              <w:framePr w:w="9396" w:wrap="notBeside" w:vAnchor="text" w:hAnchor="text" w:xAlign="center" w:y="1"/>
              <w:shd w:val="clear" w:color="auto" w:fill="auto"/>
              <w:spacing w:before="0" w:after="0" w:line="244" w:lineRule="exact"/>
              <w:jc w:val="left"/>
            </w:pPr>
            <w:r>
              <w:rPr>
                <w:rStyle w:val="Bodytext211pt"/>
              </w:rPr>
              <w:t>немає</w:t>
            </w:r>
          </w:p>
        </w:tc>
      </w:tr>
    </w:tbl>
    <w:p w:rsidR="008D5DD9" w:rsidRDefault="008D5DD9">
      <w:pPr>
        <w:framePr w:w="9396" w:wrap="notBeside" w:vAnchor="text" w:hAnchor="text" w:xAlign="center" w:y="1"/>
        <w:rPr>
          <w:sz w:val="2"/>
          <w:szCs w:val="2"/>
        </w:rPr>
      </w:pPr>
    </w:p>
    <w:p w:rsidR="008D5DD9" w:rsidRDefault="008D5DD9">
      <w:pPr>
        <w:rPr>
          <w:sz w:val="2"/>
          <w:szCs w:val="2"/>
        </w:rPr>
      </w:pPr>
    </w:p>
    <w:p w:rsidR="008D5DD9" w:rsidRDefault="00C250F0">
      <w:pPr>
        <w:pStyle w:val="Bodytext50"/>
        <w:numPr>
          <w:ilvl w:val="0"/>
          <w:numId w:val="1"/>
        </w:numPr>
        <w:shd w:val="clear" w:color="auto" w:fill="auto"/>
        <w:tabs>
          <w:tab w:val="left" w:pos="485"/>
        </w:tabs>
        <w:spacing w:before="264" w:after="300"/>
        <w:ind w:firstLine="160"/>
      </w:pPr>
      <w:r>
        <w:t>Обґрунтування строку дії запропонованого регуляторного акту</w:t>
      </w:r>
    </w:p>
    <w:p w:rsidR="008D5DD9" w:rsidRDefault="00D16767">
      <w:pPr>
        <w:pStyle w:val="Bodytext20"/>
        <w:shd w:val="clear" w:color="auto" w:fill="auto"/>
        <w:spacing w:before="0" w:after="300" w:line="288" w:lineRule="exact"/>
      </w:pPr>
      <w:r>
        <w:t xml:space="preserve">        </w:t>
      </w:r>
      <w:r w:rsidR="00C250F0">
        <w:t>Строк дії запропонованого регуляторного акту необмежений, з можливістю внесення до нього змін та його відміни (або його окремих положень) у разі зміни чинного законодавства.</w:t>
      </w:r>
    </w:p>
    <w:p w:rsidR="008D5DD9" w:rsidRDefault="00C250F0">
      <w:pPr>
        <w:pStyle w:val="Bodytext50"/>
        <w:numPr>
          <w:ilvl w:val="0"/>
          <w:numId w:val="1"/>
        </w:numPr>
        <w:shd w:val="clear" w:color="auto" w:fill="auto"/>
        <w:tabs>
          <w:tab w:val="left" w:pos="499"/>
        </w:tabs>
        <w:spacing w:before="0" w:after="289"/>
        <w:ind w:firstLine="160"/>
      </w:pPr>
      <w:r>
        <w:t>Показники результативності регуляторного акту</w:t>
      </w:r>
    </w:p>
    <w:p w:rsidR="008D5DD9" w:rsidRDefault="00C250F0">
      <w:pPr>
        <w:pStyle w:val="Bodytext20"/>
        <w:numPr>
          <w:ilvl w:val="0"/>
          <w:numId w:val="2"/>
        </w:numPr>
        <w:shd w:val="clear" w:color="auto" w:fill="auto"/>
        <w:tabs>
          <w:tab w:val="left" w:pos="253"/>
        </w:tabs>
        <w:spacing w:before="0" w:after="0" w:line="302" w:lineRule="exact"/>
      </w:pPr>
      <w:r>
        <w:t>вдосконалення механізму розрахунку орендної плати;</w:t>
      </w:r>
    </w:p>
    <w:p w:rsidR="008D5DD9" w:rsidRDefault="00C250F0">
      <w:pPr>
        <w:pStyle w:val="Bodytext20"/>
        <w:numPr>
          <w:ilvl w:val="0"/>
          <w:numId w:val="2"/>
        </w:numPr>
        <w:shd w:val="clear" w:color="auto" w:fill="auto"/>
        <w:tabs>
          <w:tab w:val="left" w:pos="253"/>
        </w:tabs>
        <w:spacing w:before="0" w:after="0" w:line="302" w:lineRule="exact"/>
      </w:pPr>
      <w:r>
        <w:t>очікувана кількість укладених договорів оренди міського комунального майна</w:t>
      </w:r>
    </w:p>
    <w:p w:rsidR="008D5DD9" w:rsidRDefault="00E96A49">
      <w:pPr>
        <w:pStyle w:val="Bodytext20"/>
        <w:numPr>
          <w:ilvl w:val="0"/>
          <w:numId w:val="2"/>
        </w:numPr>
        <w:shd w:val="clear" w:color="auto" w:fill="auto"/>
        <w:tabs>
          <w:tab w:val="left" w:pos="325"/>
        </w:tabs>
        <w:spacing w:before="0" w:after="0" w:line="302" w:lineRule="exact"/>
      </w:pPr>
      <w:r>
        <w:t>75</w:t>
      </w:r>
      <w:r w:rsidR="00C250F0">
        <w:t xml:space="preserve"> шт.;</w:t>
      </w:r>
    </w:p>
    <w:p w:rsidR="008D5DD9" w:rsidRDefault="00C250F0">
      <w:pPr>
        <w:pStyle w:val="Bodytext20"/>
        <w:numPr>
          <w:ilvl w:val="0"/>
          <w:numId w:val="2"/>
        </w:numPr>
        <w:shd w:val="clear" w:color="auto" w:fill="auto"/>
        <w:tabs>
          <w:tab w:val="left" w:pos="332"/>
        </w:tabs>
        <w:spacing w:before="0" w:after="574" w:line="302" w:lineRule="exact"/>
      </w:pPr>
      <w:r>
        <w:t>очікувані надходження коштів до місцевого бюджету від оренди об’єктів комунальної власності у розмірі - 1</w:t>
      </w:r>
      <w:r w:rsidR="00BE4671">
        <w:t>37</w:t>
      </w:r>
      <w:r>
        <w:t>,0 тис грн.</w:t>
      </w:r>
    </w:p>
    <w:p w:rsidR="008D5DD9" w:rsidRDefault="00C250F0">
      <w:pPr>
        <w:pStyle w:val="Bodytext50"/>
        <w:numPr>
          <w:ilvl w:val="0"/>
          <w:numId w:val="1"/>
        </w:numPr>
        <w:shd w:val="clear" w:color="auto" w:fill="auto"/>
        <w:tabs>
          <w:tab w:val="left" w:pos="447"/>
        </w:tabs>
        <w:spacing w:before="0" w:after="206" w:line="360" w:lineRule="exact"/>
        <w:ind w:firstLine="160"/>
      </w:pPr>
      <w:r>
        <w:t>Визначення заходів</w:t>
      </w:r>
      <w:r>
        <w:rPr>
          <w:rStyle w:val="Bodytext5NotItalic"/>
        </w:rPr>
        <w:t xml:space="preserve">, </w:t>
      </w:r>
      <w:r>
        <w:t>за допомогою яких буде здійснюватися відстеження результативності дії регуляторного акту у разі його прийняття.</w:t>
      </w:r>
    </w:p>
    <w:p w:rsidR="00D16767" w:rsidRDefault="00D16767" w:rsidP="00D16767">
      <w:pPr>
        <w:pStyle w:val="Bodytext20"/>
        <w:shd w:val="clear" w:color="auto" w:fill="auto"/>
        <w:spacing w:before="0" w:after="200" w:line="353" w:lineRule="exact"/>
        <w:ind w:firstLine="420"/>
      </w:pPr>
      <w:r w:rsidRPr="00D16767">
        <w:t xml:space="preserve">Даним проектом рішення </w:t>
      </w:r>
      <w:proofErr w:type="spellStart"/>
      <w:r w:rsidRPr="00D16767">
        <w:t>Марганецької</w:t>
      </w:r>
      <w:proofErr w:type="spellEnd"/>
      <w:r w:rsidRPr="00D16767">
        <w:t xml:space="preserve"> міської ради пропонується внесення змі</w:t>
      </w:r>
      <w:r>
        <w:t>н до діючого регуляторного акту</w:t>
      </w:r>
      <w:r w:rsidRPr="00D16767">
        <w:t>, тому результативність дії регуляторного акту буде відстежуватися проведенням періодичного відстеження згідно затвердженого графіку здійснення заходів з відстеження результативності дії регуляторних актів відділами, управліннями, іншими виконавчими органами міської ради.</w:t>
      </w:r>
    </w:p>
    <w:p w:rsidR="008D5DD9" w:rsidRDefault="00D16767" w:rsidP="00D16767">
      <w:pPr>
        <w:pStyle w:val="Bodytext20"/>
        <w:shd w:val="clear" w:color="auto" w:fill="auto"/>
        <w:spacing w:before="0" w:after="0" w:line="360" w:lineRule="exact"/>
        <w:ind w:firstLine="420"/>
        <w:sectPr w:rsidR="008D5DD9">
          <w:pgSz w:w="11900" w:h="16840"/>
          <w:pgMar w:top="866" w:right="953" w:bottom="729" w:left="1501" w:header="0" w:footer="3" w:gutter="0"/>
          <w:cols w:space="720"/>
          <w:noEndnote/>
          <w:docGrid w:linePitch="360"/>
        </w:sectPr>
      </w:pPr>
      <w:r>
        <w:t>У разі виявлення неврегульованих та проблемних питань, їх вирішення буде урегульовано шляхом внесення відповідних змін до регуляторного акту.</w:t>
      </w:r>
    </w:p>
    <w:p w:rsidR="008D5DD9" w:rsidRDefault="008D5DD9">
      <w:pPr>
        <w:spacing w:before="69" w:after="69" w:line="240" w:lineRule="exact"/>
        <w:rPr>
          <w:sz w:val="19"/>
          <w:szCs w:val="19"/>
        </w:rPr>
      </w:pPr>
    </w:p>
    <w:p w:rsidR="008D5DD9" w:rsidRDefault="008D5DD9">
      <w:pPr>
        <w:rPr>
          <w:sz w:val="2"/>
          <w:szCs w:val="2"/>
        </w:rPr>
        <w:sectPr w:rsidR="008D5DD9">
          <w:type w:val="continuous"/>
          <w:pgSz w:w="11900" w:h="16840"/>
          <w:pgMar w:top="864" w:right="0" w:bottom="864" w:left="0" w:header="0" w:footer="3" w:gutter="0"/>
          <w:cols w:space="720"/>
          <w:noEndnote/>
          <w:docGrid w:linePitch="360"/>
        </w:sectPr>
      </w:pPr>
    </w:p>
    <w:p w:rsidR="008D5DD9" w:rsidRDefault="008D5DD9">
      <w:pPr>
        <w:spacing w:line="360" w:lineRule="exact"/>
      </w:pPr>
    </w:p>
    <w:p w:rsidR="008D5DD9" w:rsidRDefault="008D5DD9">
      <w:pPr>
        <w:spacing w:line="360" w:lineRule="exact"/>
      </w:pPr>
    </w:p>
    <w:p w:rsidR="008D5DD9" w:rsidRDefault="008D5DD9">
      <w:pPr>
        <w:spacing w:line="360" w:lineRule="exact"/>
      </w:pPr>
    </w:p>
    <w:p w:rsidR="008D5DD9" w:rsidRDefault="008D5DD9">
      <w:pPr>
        <w:spacing w:line="611" w:lineRule="exact"/>
      </w:pPr>
    </w:p>
    <w:p w:rsidR="008D5DD9" w:rsidRDefault="008D5DD9">
      <w:pPr>
        <w:rPr>
          <w:sz w:val="2"/>
          <w:szCs w:val="2"/>
        </w:rPr>
      </w:pPr>
    </w:p>
    <w:sectPr w:rsidR="008D5DD9" w:rsidSect="008D5DD9">
      <w:type w:val="continuous"/>
      <w:pgSz w:w="11900" w:h="16840"/>
      <w:pgMar w:top="864" w:right="860" w:bottom="864" w:left="159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530" w:rsidRDefault="00475530" w:rsidP="008D5DD9">
      <w:r>
        <w:separator/>
      </w:r>
    </w:p>
  </w:endnote>
  <w:endnote w:type="continuationSeparator" w:id="0">
    <w:p w:rsidR="00475530" w:rsidRDefault="00475530" w:rsidP="008D5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530" w:rsidRDefault="00475530"/>
  </w:footnote>
  <w:footnote w:type="continuationSeparator" w:id="0">
    <w:p w:rsidR="00475530" w:rsidRDefault="0047553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7BEB"/>
    <w:multiLevelType w:val="multilevel"/>
    <w:tmpl w:val="67688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963801"/>
    <w:multiLevelType w:val="multilevel"/>
    <w:tmpl w:val="B7C8208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D5DD9"/>
    <w:rsid w:val="00065DB9"/>
    <w:rsid w:val="00174C38"/>
    <w:rsid w:val="00243A3C"/>
    <w:rsid w:val="002E1ABB"/>
    <w:rsid w:val="00403E07"/>
    <w:rsid w:val="0045754B"/>
    <w:rsid w:val="00475530"/>
    <w:rsid w:val="005120AE"/>
    <w:rsid w:val="006B2FD7"/>
    <w:rsid w:val="008D5DD9"/>
    <w:rsid w:val="009309F8"/>
    <w:rsid w:val="009F746B"/>
    <w:rsid w:val="00A7177F"/>
    <w:rsid w:val="00BE4671"/>
    <w:rsid w:val="00C250F0"/>
    <w:rsid w:val="00D16767"/>
    <w:rsid w:val="00E96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5DD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rsid w:val="008D5DD9"/>
    <w:rPr>
      <w:b/>
      <w:bCs/>
      <w:i w:val="0"/>
      <w:iCs w:val="0"/>
      <w:smallCaps w:val="0"/>
      <w:strike w:val="0"/>
      <w:sz w:val="34"/>
      <w:szCs w:val="34"/>
      <w:u w:val="none"/>
    </w:rPr>
  </w:style>
  <w:style w:type="character" w:customStyle="1" w:styleId="Bodytext3">
    <w:name w:val="Body text (3)_"/>
    <w:basedOn w:val="a0"/>
    <w:link w:val="Bodytext30"/>
    <w:rsid w:val="008D5DD9"/>
    <w:rPr>
      <w:b/>
      <w:bCs/>
      <w:i w:val="0"/>
      <w:iCs w:val="0"/>
      <w:smallCaps w:val="0"/>
      <w:strike w:val="0"/>
      <w:sz w:val="26"/>
      <w:szCs w:val="26"/>
      <w:u w:val="none"/>
    </w:rPr>
  </w:style>
  <w:style w:type="character" w:customStyle="1" w:styleId="Bodytext2">
    <w:name w:val="Body text (2)_"/>
    <w:basedOn w:val="a0"/>
    <w:link w:val="Bodytext20"/>
    <w:rsid w:val="008D5DD9"/>
    <w:rPr>
      <w:b w:val="0"/>
      <w:bCs w:val="0"/>
      <w:i w:val="0"/>
      <w:iCs w:val="0"/>
      <w:smallCaps w:val="0"/>
      <w:strike w:val="0"/>
      <w:sz w:val="26"/>
      <w:szCs w:val="26"/>
      <w:u w:val="none"/>
    </w:rPr>
  </w:style>
  <w:style w:type="character" w:customStyle="1" w:styleId="Bodytext2Bold">
    <w:name w:val="Body text (2) + Bold"/>
    <w:basedOn w:val="Bodytext2"/>
    <w:rsid w:val="008D5DD9"/>
    <w:rPr>
      <w:rFonts w:ascii="Times New Roman" w:eastAsia="Times New Roman" w:hAnsi="Times New Roman" w:cs="Times New Roman"/>
      <w:b/>
      <w:bCs/>
      <w:color w:val="000000"/>
      <w:spacing w:val="0"/>
      <w:w w:val="100"/>
      <w:position w:val="0"/>
      <w:lang w:val="uk-UA" w:eastAsia="uk-UA" w:bidi="uk-UA"/>
    </w:rPr>
  </w:style>
  <w:style w:type="character" w:customStyle="1" w:styleId="Bodytext2Italic">
    <w:name w:val="Body text (2) + Italic"/>
    <w:basedOn w:val="Bodytext2"/>
    <w:rsid w:val="008D5DD9"/>
    <w:rPr>
      <w:rFonts w:ascii="Times New Roman" w:eastAsia="Times New Roman" w:hAnsi="Times New Roman" w:cs="Times New Roman"/>
      <w:i/>
      <w:iCs/>
      <w:color w:val="000000"/>
      <w:spacing w:val="0"/>
      <w:w w:val="100"/>
      <w:position w:val="0"/>
      <w:lang w:val="uk-UA" w:eastAsia="uk-UA" w:bidi="uk-UA"/>
    </w:rPr>
  </w:style>
  <w:style w:type="character" w:customStyle="1" w:styleId="Bodytext21">
    <w:name w:val="Body text (2)"/>
    <w:basedOn w:val="Bodytext2"/>
    <w:rsid w:val="008D5DD9"/>
    <w:rPr>
      <w:rFonts w:ascii="Times New Roman" w:eastAsia="Times New Roman" w:hAnsi="Times New Roman" w:cs="Times New Roman"/>
      <w:color w:val="000000"/>
      <w:spacing w:val="0"/>
      <w:w w:val="100"/>
      <w:position w:val="0"/>
      <w:u w:val="single"/>
      <w:lang w:val="uk-UA" w:eastAsia="uk-UA" w:bidi="uk-UA"/>
    </w:rPr>
  </w:style>
  <w:style w:type="character" w:customStyle="1" w:styleId="Bodytext4">
    <w:name w:val="Body text (4)_"/>
    <w:basedOn w:val="a0"/>
    <w:link w:val="Bodytext40"/>
    <w:rsid w:val="008D5DD9"/>
    <w:rPr>
      <w:b/>
      <w:bCs/>
      <w:i w:val="0"/>
      <w:iCs w:val="0"/>
      <w:smallCaps w:val="0"/>
      <w:strike w:val="0"/>
      <w:sz w:val="26"/>
      <w:szCs w:val="26"/>
      <w:u w:val="none"/>
    </w:rPr>
  </w:style>
  <w:style w:type="character" w:customStyle="1" w:styleId="Bodytext5">
    <w:name w:val="Body text (5)_"/>
    <w:basedOn w:val="a0"/>
    <w:link w:val="Bodytext50"/>
    <w:rsid w:val="008D5DD9"/>
    <w:rPr>
      <w:b w:val="0"/>
      <w:bCs w:val="0"/>
      <w:i/>
      <w:iCs/>
      <w:smallCaps w:val="0"/>
      <w:strike w:val="0"/>
      <w:sz w:val="26"/>
      <w:szCs w:val="26"/>
      <w:u w:val="none"/>
    </w:rPr>
  </w:style>
  <w:style w:type="character" w:customStyle="1" w:styleId="Bodytext5NotItalic">
    <w:name w:val="Body text (5) + Not Italic"/>
    <w:basedOn w:val="Bodytext5"/>
    <w:rsid w:val="008D5DD9"/>
    <w:rPr>
      <w:rFonts w:ascii="Times New Roman" w:eastAsia="Times New Roman" w:hAnsi="Times New Roman" w:cs="Times New Roman"/>
      <w:i/>
      <w:iCs/>
      <w:color w:val="000000"/>
      <w:spacing w:val="0"/>
      <w:w w:val="100"/>
      <w:position w:val="0"/>
      <w:lang w:val="uk-UA" w:eastAsia="uk-UA" w:bidi="uk-UA"/>
    </w:rPr>
  </w:style>
  <w:style w:type="character" w:customStyle="1" w:styleId="Bodytext211ptBold">
    <w:name w:val="Body text (2) + 11 pt;Bold"/>
    <w:basedOn w:val="Bodytext2"/>
    <w:rsid w:val="008D5DD9"/>
    <w:rPr>
      <w:rFonts w:ascii="Times New Roman" w:eastAsia="Times New Roman" w:hAnsi="Times New Roman" w:cs="Times New Roman"/>
      <w:b/>
      <w:bCs/>
      <w:color w:val="000000"/>
      <w:spacing w:val="0"/>
      <w:w w:val="100"/>
      <w:position w:val="0"/>
      <w:sz w:val="22"/>
      <w:szCs w:val="22"/>
      <w:lang w:val="uk-UA" w:eastAsia="uk-UA" w:bidi="uk-UA"/>
    </w:rPr>
  </w:style>
  <w:style w:type="character" w:customStyle="1" w:styleId="Bodytext211pt">
    <w:name w:val="Body text (2) + 11 pt"/>
    <w:basedOn w:val="Bodytext2"/>
    <w:rsid w:val="008D5DD9"/>
    <w:rPr>
      <w:rFonts w:ascii="Times New Roman" w:eastAsia="Times New Roman" w:hAnsi="Times New Roman" w:cs="Times New Roman"/>
      <w:color w:val="000000"/>
      <w:spacing w:val="0"/>
      <w:w w:val="100"/>
      <w:position w:val="0"/>
      <w:sz w:val="22"/>
      <w:szCs w:val="22"/>
      <w:lang w:val="uk-UA" w:eastAsia="uk-UA" w:bidi="uk-UA"/>
    </w:rPr>
  </w:style>
  <w:style w:type="character" w:customStyle="1" w:styleId="Bodytext2Exact">
    <w:name w:val="Body text (2) Exact"/>
    <w:basedOn w:val="a0"/>
    <w:rsid w:val="008D5DD9"/>
    <w:rPr>
      <w:b w:val="0"/>
      <w:bCs w:val="0"/>
      <w:i w:val="0"/>
      <w:iCs w:val="0"/>
      <w:smallCaps w:val="0"/>
      <w:strike w:val="0"/>
      <w:sz w:val="26"/>
      <w:szCs w:val="26"/>
      <w:u w:val="none"/>
    </w:rPr>
  </w:style>
  <w:style w:type="paragraph" w:customStyle="1" w:styleId="Heading10">
    <w:name w:val="Heading #1"/>
    <w:basedOn w:val="a"/>
    <w:link w:val="Heading1"/>
    <w:rsid w:val="008D5DD9"/>
    <w:pPr>
      <w:shd w:val="clear" w:color="auto" w:fill="FFFFFF"/>
      <w:spacing w:line="376" w:lineRule="exact"/>
      <w:jc w:val="both"/>
      <w:outlineLvl w:val="0"/>
    </w:pPr>
    <w:rPr>
      <w:b/>
      <w:bCs/>
      <w:sz w:val="34"/>
      <w:szCs w:val="34"/>
    </w:rPr>
  </w:style>
  <w:style w:type="paragraph" w:customStyle="1" w:styleId="Bodytext30">
    <w:name w:val="Body text (3)"/>
    <w:basedOn w:val="a"/>
    <w:link w:val="Bodytext3"/>
    <w:rsid w:val="008D5DD9"/>
    <w:pPr>
      <w:shd w:val="clear" w:color="auto" w:fill="FFFFFF"/>
      <w:spacing w:before="260" w:after="500" w:line="302" w:lineRule="exact"/>
      <w:jc w:val="center"/>
    </w:pPr>
    <w:rPr>
      <w:b/>
      <w:bCs/>
      <w:sz w:val="26"/>
      <w:szCs w:val="26"/>
    </w:rPr>
  </w:style>
  <w:style w:type="paragraph" w:customStyle="1" w:styleId="Bodytext20">
    <w:name w:val="Body text (2)"/>
    <w:basedOn w:val="a"/>
    <w:link w:val="Bodytext2"/>
    <w:rsid w:val="008D5DD9"/>
    <w:pPr>
      <w:shd w:val="clear" w:color="auto" w:fill="FFFFFF"/>
      <w:spacing w:before="500" w:after="260" w:line="310" w:lineRule="exact"/>
      <w:jc w:val="both"/>
    </w:pPr>
    <w:rPr>
      <w:sz w:val="26"/>
      <w:szCs w:val="26"/>
    </w:rPr>
  </w:style>
  <w:style w:type="paragraph" w:customStyle="1" w:styleId="Bodytext40">
    <w:name w:val="Body text (4)"/>
    <w:basedOn w:val="a"/>
    <w:link w:val="Bodytext4"/>
    <w:rsid w:val="008D5DD9"/>
    <w:pPr>
      <w:shd w:val="clear" w:color="auto" w:fill="FFFFFF"/>
      <w:spacing w:after="460" w:line="310" w:lineRule="exact"/>
      <w:jc w:val="center"/>
    </w:pPr>
    <w:rPr>
      <w:b/>
      <w:bCs/>
      <w:sz w:val="26"/>
      <w:szCs w:val="26"/>
    </w:rPr>
  </w:style>
  <w:style w:type="paragraph" w:customStyle="1" w:styleId="Bodytext50">
    <w:name w:val="Body text (5)"/>
    <w:basedOn w:val="a"/>
    <w:link w:val="Bodytext5"/>
    <w:rsid w:val="008D5DD9"/>
    <w:pPr>
      <w:shd w:val="clear" w:color="auto" w:fill="FFFFFF"/>
      <w:spacing w:before="280" w:after="280" w:line="288" w:lineRule="exact"/>
    </w:pPr>
    <w:rPr>
      <w:i/>
      <w:iCs/>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932</Words>
  <Characters>5317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SCAN0004</vt:lpstr>
    </vt:vector>
  </TitlesOfParts>
  <Company>SPecialiST RePack</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SCAN0004</dc:title>
  <dc:creator>USER</dc:creator>
  <cp:lastModifiedBy>USER</cp:lastModifiedBy>
  <cp:revision>6</cp:revision>
  <dcterms:created xsi:type="dcterms:W3CDTF">2018-03-23T12:38:00Z</dcterms:created>
  <dcterms:modified xsi:type="dcterms:W3CDTF">2018-03-28T07:59:00Z</dcterms:modified>
</cp:coreProperties>
</file>